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8B585" w14:textId="77777777" w:rsidR="00744D4C" w:rsidRPr="00744D4C" w:rsidRDefault="00744D4C" w:rsidP="00744D4C">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744D4C">
        <w:rPr>
          <w:rFonts w:ascii="Times New Roman" w:eastAsia="Times New Roman" w:hAnsi="Times New Roman" w:cs="Times New Roman"/>
          <w:b/>
          <w:sz w:val="24"/>
          <w:szCs w:val="24"/>
        </w:rPr>
        <w:t>ANYKŠČIŲ RAJONO SAVIVALDYBĖS</w:t>
      </w:r>
      <w:r w:rsidRPr="00744D4C">
        <w:rPr>
          <w:rFonts w:ascii="Times New Roman" w:eastAsia="Times New Roman" w:hAnsi="Times New Roman" w:cs="Times New Roman"/>
          <w:sz w:val="24"/>
          <w:szCs w:val="24"/>
        </w:rPr>
        <w:t xml:space="preserve"> </w:t>
      </w:r>
      <w:r w:rsidRPr="00744D4C">
        <w:rPr>
          <w:rFonts w:ascii="Times New Roman" w:eastAsia="Times New Roman" w:hAnsi="Times New Roman" w:cs="Times New Roman"/>
          <w:b/>
          <w:sz w:val="24"/>
          <w:szCs w:val="24"/>
        </w:rPr>
        <w:t>TARYBOS</w:t>
      </w:r>
    </w:p>
    <w:p w14:paraId="27E87F0B" w14:textId="77777777" w:rsidR="00744D4C" w:rsidRPr="00744D4C"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744D4C">
        <w:rPr>
          <w:rFonts w:ascii="Times New Roman" w:eastAsia="Times New Roman" w:hAnsi="Times New Roman" w:cs="Times New Roman"/>
          <w:b/>
          <w:sz w:val="24"/>
          <w:szCs w:val="24"/>
        </w:rPr>
        <w:t>SOCIALINIŲ REIKALŲ, SVEIKATOS IR APLINKOS APSAUGOS KOMITETO</w:t>
      </w:r>
    </w:p>
    <w:p w14:paraId="1D5E86AA" w14:textId="77777777" w:rsidR="00744D4C" w:rsidRPr="00744D4C"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744D4C">
        <w:rPr>
          <w:rFonts w:ascii="Times New Roman" w:eastAsia="Times New Roman" w:hAnsi="Times New Roman" w:cs="Times New Roman"/>
          <w:b/>
          <w:sz w:val="24"/>
          <w:szCs w:val="24"/>
        </w:rPr>
        <w:t>POSĖDŽIO DARBOTVARKĖ</w:t>
      </w:r>
    </w:p>
    <w:p w14:paraId="4E60EE0A" w14:textId="77777777" w:rsidR="00744D4C" w:rsidRPr="00744D4C" w:rsidRDefault="00744D4C" w:rsidP="00744D4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14:paraId="7798DE01" w14:textId="27AF1275" w:rsidR="00744D4C" w:rsidRPr="00744D4C" w:rsidRDefault="00744D4C" w:rsidP="00744D4C">
      <w:pPr>
        <w:overflowPunct w:val="0"/>
        <w:autoSpaceDE w:val="0"/>
        <w:autoSpaceDN w:val="0"/>
        <w:adjustRightInd w:val="0"/>
        <w:spacing w:after="0" w:line="240" w:lineRule="auto"/>
        <w:jc w:val="center"/>
        <w:textAlignment w:val="baseline"/>
        <w:rPr>
          <w:rFonts w:ascii="TimesLT" w:eastAsia="Times New Roman" w:hAnsi="TimesLT" w:cs="Times New Roman"/>
          <w:b/>
          <w:sz w:val="24"/>
          <w:szCs w:val="20"/>
        </w:rPr>
      </w:pPr>
      <w:r w:rsidRPr="00744D4C">
        <w:rPr>
          <w:rFonts w:ascii="Times New Roman" w:eastAsia="Times New Roman" w:hAnsi="Times New Roman" w:cs="Times New Roman"/>
          <w:b/>
          <w:sz w:val="24"/>
          <w:szCs w:val="24"/>
        </w:rPr>
        <w:t>Posėdis vyks 20</w:t>
      </w:r>
      <w:r w:rsidR="00960FAD">
        <w:rPr>
          <w:rFonts w:ascii="Times New Roman" w:eastAsia="Times New Roman" w:hAnsi="Times New Roman" w:cs="Times New Roman"/>
          <w:b/>
          <w:sz w:val="24"/>
          <w:szCs w:val="24"/>
        </w:rPr>
        <w:t>22</w:t>
      </w:r>
      <w:r w:rsidRPr="00744D4C">
        <w:rPr>
          <w:rFonts w:ascii="Times New Roman" w:eastAsia="Times New Roman" w:hAnsi="Times New Roman" w:cs="Times New Roman"/>
          <w:b/>
          <w:sz w:val="24"/>
          <w:szCs w:val="24"/>
        </w:rPr>
        <w:t xml:space="preserve"> m. </w:t>
      </w:r>
      <w:r w:rsidR="00960FAD">
        <w:rPr>
          <w:rFonts w:ascii="Times New Roman" w:eastAsia="Times New Roman" w:hAnsi="Times New Roman" w:cs="Times New Roman"/>
          <w:b/>
          <w:sz w:val="24"/>
          <w:szCs w:val="24"/>
        </w:rPr>
        <w:t>balandžio 26</w:t>
      </w:r>
      <w:r w:rsidRPr="00744D4C">
        <w:rPr>
          <w:rFonts w:ascii="Times New Roman" w:eastAsia="Times New Roman" w:hAnsi="Times New Roman" w:cs="Times New Roman"/>
          <w:b/>
          <w:sz w:val="24"/>
          <w:szCs w:val="24"/>
        </w:rPr>
        <w:t xml:space="preserve"> d. </w:t>
      </w:r>
      <w:r w:rsidRPr="00744D4C">
        <w:rPr>
          <w:rFonts w:ascii="TimesLT" w:eastAsia="Times New Roman" w:hAnsi="TimesLT" w:cs="Times New Roman"/>
          <w:b/>
          <w:sz w:val="24"/>
          <w:szCs w:val="20"/>
        </w:rPr>
        <w:t xml:space="preserve">15 val.  II a. </w:t>
      </w:r>
      <w:r w:rsidR="00C46FFA">
        <w:rPr>
          <w:rFonts w:ascii="TimesLT" w:eastAsia="Times New Roman" w:hAnsi="TimesLT" w:cs="Times New Roman"/>
          <w:b/>
          <w:sz w:val="24"/>
          <w:szCs w:val="20"/>
        </w:rPr>
        <w:t>206</w:t>
      </w:r>
      <w:r w:rsidRPr="00744D4C">
        <w:rPr>
          <w:rFonts w:ascii="TimesLT" w:eastAsia="Times New Roman" w:hAnsi="TimesLT" w:cs="Times New Roman"/>
          <w:b/>
          <w:sz w:val="24"/>
          <w:szCs w:val="20"/>
        </w:rPr>
        <w:t xml:space="preserve"> kab. J. Biliūno g. 23, Anykščiai</w:t>
      </w:r>
    </w:p>
    <w:bookmarkEnd w:id="0"/>
    <w:p w14:paraId="3E89CD8A" w14:textId="77777777" w:rsidR="00744D4C" w:rsidRPr="00744D4C" w:rsidRDefault="00744D4C" w:rsidP="00744D4C">
      <w:pPr>
        <w:overflowPunct w:val="0"/>
        <w:autoSpaceDE w:val="0"/>
        <w:autoSpaceDN w:val="0"/>
        <w:adjustRightInd w:val="0"/>
        <w:spacing w:after="0" w:line="240" w:lineRule="auto"/>
        <w:jc w:val="center"/>
        <w:textAlignment w:val="baseline"/>
        <w:rPr>
          <w:rFonts w:ascii="TimesLT" w:eastAsia="Times New Roman" w:hAnsi="TimesLT" w:cs="Times New Roman"/>
          <w:sz w:val="24"/>
          <w:szCs w:val="20"/>
        </w:rPr>
      </w:pPr>
    </w:p>
    <w:p w14:paraId="479F06AB" w14:textId="77777777" w:rsidR="00744D4C" w:rsidRPr="00744D4C" w:rsidRDefault="00744D4C" w:rsidP="00C903E9">
      <w:pPr>
        <w:jc w:val="both"/>
        <w:rPr>
          <w:rFonts w:ascii="TimesLT" w:eastAsia="Times New Roman" w:hAnsi="TimesLT" w:cs="Times New Roman"/>
          <w:sz w:val="24"/>
          <w:szCs w:val="20"/>
        </w:rPr>
      </w:pPr>
    </w:p>
    <w:p w14:paraId="5049F027"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1. Dėl Anykščių rajono savivaldybės tarybos 2022 m. vasario 23 d. sprendimo Nr. 1-TS-41 „Dėl Anykščių rajono savivaldybės 2022 metų biudžeto patvirtinimo“ pakeitimo (1-T-179).</w:t>
      </w:r>
    </w:p>
    <w:p w14:paraId="3F8EDF03"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2. Dėl nekilnojamojo turto mokesčio tarifų nustatymo (1-T-151). </w:t>
      </w:r>
    </w:p>
    <w:p w14:paraId="670E3D92" w14:textId="77777777" w:rsidR="008238A0" w:rsidRPr="008238A0" w:rsidRDefault="008238A0" w:rsidP="008238A0">
      <w:pPr>
        <w:spacing w:line="360" w:lineRule="auto"/>
        <w:jc w:val="both"/>
        <w:rPr>
          <w:rFonts w:ascii="Times New Roman" w:eastAsia="Calibri" w:hAnsi="Times New Roman" w:cs="Times New Roman"/>
          <w:b/>
          <w:bCs/>
          <w:sz w:val="24"/>
          <w:szCs w:val="24"/>
        </w:rPr>
      </w:pPr>
      <w:r w:rsidRPr="008238A0">
        <w:rPr>
          <w:rFonts w:ascii="Times New Roman" w:eastAsia="Calibri" w:hAnsi="Times New Roman" w:cs="Times New Roman"/>
          <w:b/>
          <w:bCs/>
          <w:sz w:val="24"/>
          <w:szCs w:val="24"/>
        </w:rPr>
        <w:t xml:space="preserve">            Pranešėja – Vida  Bužinskienė</w:t>
      </w:r>
    </w:p>
    <w:p w14:paraId="285CEED2"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3. Dėl Anykščių rajono savivaldybės tarybos 2017 m. vasario 23 d. sprendimo Nr. 1-TS-27 ,,Dėl Anykščių rajono savivaldybės biudžetinių įstaigų vadovų darbo apmokėjimo tvarkos aprašo patvirtinimo‘‘ pakeitimo (1-T-184).</w:t>
      </w:r>
    </w:p>
    <w:p w14:paraId="1042AD88" w14:textId="77777777" w:rsidR="008238A0" w:rsidRPr="008238A0" w:rsidRDefault="008238A0" w:rsidP="008238A0">
      <w:pPr>
        <w:spacing w:line="360" w:lineRule="auto"/>
        <w:jc w:val="both"/>
        <w:rPr>
          <w:rFonts w:ascii="Times New Roman" w:eastAsia="Calibri" w:hAnsi="Times New Roman" w:cs="Times New Roman"/>
          <w:b/>
          <w:bCs/>
          <w:sz w:val="24"/>
          <w:szCs w:val="24"/>
        </w:rPr>
      </w:pPr>
      <w:r w:rsidRPr="008238A0">
        <w:rPr>
          <w:rFonts w:ascii="Times New Roman" w:eastAsia="Calibri" w:hAnsi="Times New Roman" w:cs="Times New Roman"/>
          <w:b/>
          <w:bCs/>
          <w:sz w:val="24"/>
          <w:szCs w:val="24"/>
        </w:rPr>
        <w:t xml:space="preserve">            Pranešėjas – Marijus </w:t>
      </w:r>
      <w:proofErr w:type="spellStart"/>
      <w:r w:rsidRPr="008238A0">
        <w:rPr>
          <w:rFonts w:ascii="Times New Roman" w:eastAsia="Calibri" w:hAnsi="Times New Roman" w:cs="Times New Roman"/>
          <w:b/>
          <w:bCs/>
          <w:sz w:val="24"/>
          <w:szCs w:val="24"/>
        </w:rPr>
        <w:t>Paužuolis</w:t>
      </w:r>
      <w:proofErr w:type="spellEnd"/>
    </w:p>
    <w:p w14:paraId="6907F992"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4. Dėl pritarimo Anykščių rajono savivaldybės kontrolės ir audito tarnybos 2021 metų veiklos ataskaitai (1-T-136). </w:t>
      </w:r>
    </w:p>
    <w:p w14:paraId="71FE3499" w14:textId="77777777" w:rsidR="008238A0" w:rsidRPr="008238A0" w:rsidRDefault="008238A0" w:rsidP="008238A0">
      <w:pPr>
        <w:spacing w:line="360" w:lineRule="auto"/>
        <w:jc w:val="both"/>
        <w:rPr>
          <w:rFonts w:ascii="Times New Roman" w:eastAsia="Calibri" w:hAnsi="Times New Roman" w:cs="Times New Roman"/>
          <w:b/>
          <w:bCs/>
          <w:sz w:val="24"/>
          <w:szCs w:val="24"/>
        </w:rPr>
      </w:pPr>
      <w:r w:rsidRPr="008238A0">
        <w:rPr>
          <w:rFonts w:ascii="Times New Roman" w:eastAsia="Calibri" w:hAnsi="Times New Roman" w:cs="Times New Roman"/>
          <w:b/>
          <w:bCs/>
          <w:sz w:val="24"/>
          <w:szCs w:val="24"/>
        </w:rPr>
        <w:t xml:space="preserve">            Pranešėjas – Artūras Juozas Lakačauskas</w:t>
      </w:r>
    </w:p>
    <w:p w14:paraId="4034B443"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5. Dėl maksimalių trumpalaikės ar ilgalaikės socialinės globos išlaidų finansavimo dydžių Anykščių rajono savivaldybės gyventojams nustatymo (1-T-156). </w:t>
      </w:r>
    </w:p>
    <w:p w14:paraId="40F450B9" w14:textId="77777777" w:rsidR="008238A0" w:rsidRPr="008238A0" w:rsidRDefault="008238A0" w:rsidP="008238A0">
      <w:pPr>
        <w:spacing w:line="360" w:lineRule="auto"/>
        <w:jc w:val="both"/>
        <w:rPr>
          <w:rFonts w:ascii="Times New Roman" w:eastAsia="Calibri" w:hAnsi="Times New Roman" w:cs="Times New Roman"/>
          <w:b/>
          <w:bCs/>
          <w:sz w:val="24"/>
          <w:szCs w:val="24"/>
        </w:rPr>
      </w:pPr>
      <w:r w:rsidRPr="008238A0">
        <w:rPr>
          <w:rFonts w:ascii="Times New Roman" w:eastAsia="Calibri" w:hAnsi="Times New Roman" w:cs="Times New Roman"/>
          <w:b/>
          <w:bCs/>
          <w:sz w:val="24"/>
          <w:szCs w:val="24"/>
        </w:rPr>
        <w:t xml:space="preserve">            Pranešėja – Vaida Laurukėnienė</w:t>
      </w:r>
    </w:p>
    <w:p w14:paraId="77C98FA3"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6. Dėl  pritarimo Anykščių miesto privažiuojamojo kelio prie Šventosios užtvankos nuo Tilto gatvės ir privažiavimo kelio prie kairiojo kranto tako nuo Sportininkų gatvės kapitalinio remonto darbams bei Anykščių rajono savivaldybės vietinės reikšmės kelių, gatvių ir kelių statinių projektavimo, tiesimo (statybos) rekonstravimo, remonto ir priežiūros darbų, finansuojamų kelių priežiūros ir plėtros programos lėšomis, 2022 metų objektų sąrašui (1-T-137). </w:t>
      </w:r>
    </w:p>
    <w:p w14:paraId="0A985688" w14:textId="77777777" w:rsidR="008238A0" w:rsidRPr="008238A0" w:rsidRDefault="008238A0" w:rsidP="008238A0">
      <w:pPr>
        <w:spacing w:line="360" w:lineRule="auto"/>
        <w:jc w:val="both"/>
        <w:rPr>
          <w:rFonts w:ascii="Times New Roman" w:eastAsia="Calibri" w:hAnsi="Times New Roman" w:cs="Times New Roman"/>
          <w:b/>
          <w:bCs/>
          <w:sz w:val="24"/>
          <w:szCs w:val="24"/>
        </w:rPr>
      </w:pPr>
      <w:r w:rsidRPr="008238A0">
        <w:rPr>
          <w:rFonts w:ascii="Times New Roman" w:eastAsia="Calibri" w:hAnsi="Times New Roman" w:cs="Times New Roman"/>
          <w:b/>
          <w:bCs/>
          <w:sz w:val="24"/>
          <w:szCs w:val="24"/>
        </w:rPr>
        <w:t xml:space="preserve">            Pranešėjas – Nikolajus </w:t>
      </w:r>
      <w:proofErr w:type="spellStart"/>
      <w:r w:rsidRPr="008238A0">
        <w:rPr>
          <w:rFonts w:ascii="Times New Roman" w:eastAsia="Calibri" w:hAnsi="Times New Roman" w:cs="Times New Roman"/>
          <w:b/>
          <w:bCs/>
          <w:sz w:val="24"/>
          <w:szCs w:val="24"/>
        </w:rPr>
        <w:t>Stanislavovas</w:t>
      </w:r>
      <w:proofErr w:type="spellEnd"/>
    </w:p>
    <w:p w14:paraId="113C4BB1"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7. Dėl didžiausio leistino darbuotojų, dirbančių pagal darbo sutartis ir gaunančių darbo užmokestį iš valstybės ir savivaldybės biudžetų, pareigybių skaičiaus Anykščių r. Svėdasų Juozo Tumo-Vaižganto gimnazijoje patvirtinimo (1-T-164). </w:t>
      </w:r>
    </w:p>
    <w:p w14:paraId="51308630"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8. Dėl Lietuvos Respublikos valstybės biudžeto lėšų, skirtų Anykščių rajono savivaldybės bendrojo ugdymo mokyklų tinklo stiprinimo iniciatyvoms skatinti, naudojimo tvarkos aprašo patvirtinimo (1-T-174). </w:t>
      </w:r>
    </w:p>
    <w:p w14:paraId="4D98C4D1" w14:textId="77777777" w:rsidR="008238A0" w:rsidRPr="008238A0" w:rsidRDefault="008238A0" w:rsidP="008238A0">
      <w:pPr>
        <w:spacing w:line="360" w:lineRule="auto"/>
        <w:jc w:val="both"/>
        <w:rPr>
          <w:rFonts w:ascii="Times New Roman" w:eastAsia="Calibri" w:hAnsi="Times New Roman" w:cs="Times New Roman"/>
          <w:b/>
          <w:bCs/>
          <w:sz w:val="24"/>
          <w:szCs w:val="24"/>
        </w:rPr>
      </w:pPr>
      <w:r w:rsidRPr="008238A0">
        <w:rPr>
          <w:rFonts w:ascii="Times New Roman" w:eastAsia="Calibri" w:hAnsi="Times New Roman" w:cs="Times New Roman"/>
          <w:b/>
          <w:bCs/>
          <w:sz w:val="24"/>
          <w:szCs w:val="24"/>
        </w:rPr>
        <w:lastRenderedPageBreak/>
        <w:t xml:space="preserve">            Pranešėjas – Jurgita Banienė</w:t>
      </w:r>
    </w:p>
    <w:p w14:paraId="78C3568C"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9. Dėl  viešosios įstaigos Anykščių rajono psichikos sveikatos centro direktoriaus mėnesinio darbo užmokesčio kintamosios dalies nustatymo (1-T-158). </w:t>
      </w:r>
    </w:p>
    <w:p w14:paraId="78DC23C7"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10. Dėl  viešosios įstaigos Anykščių rajono savivaldybės pirminės sveikatos priežiūros centro direktoriaus mėnesinio darbo užmokesčio kintamosios dalies nustatymo (1-T-159). </w:t>
      </w:r>
    </w:p>
    <w:p w14:paraId="3055914A"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11. Dėl  viešosios įstaigos Anykščių rajono savivaldybės ligoninės direktoriaus mėnesinio darbo užmokesčio kintamosios dalies nustatymo (1-T-173). </w:t>
      </w:r>
    </w:p>
    <w:p w14:paraId="5DB3916F"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12 Dėl pritarimo viešosios įstaigos Anykščių rajono savivaldybės pirminės sveikatos priežiūros centro 2021 metų veiklos ataskaitai (1-T-160). </w:t>
      </w:r>
    </w:p>
    <w:p w14:paraId="4CDF2916"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13. Dėl pritarimo viešosios įstaigos Anykščių rajono psichikos sveikatos centro 2021 metų veiklos ataskaitai (1-T-169). </w:t>
      </w:r>
    </w:p>
    <w:p w14:paraId="28382210"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14. Dėl pritarimo viešosios įstaigos Anykščių rajono savivaldybės ligoninės 2021 metų veiklos ataskaitai (1-T-170). </w:t>
      </w:r>
    </w:p>
    <w:p w14:paraId="0C7F76F7"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15. Dėl viešosios įstaigos Anykščių rajono savivaldybės  ligoninės valdymo struktūros patvirtinimo (1-T-172). </w:t>
      </w:r>
    </w:p>
    <w:p w14:paraId="11038939"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16. Dėl viešosios įstaigos Anykščių rajono savivaldybės pirminės sveikatos priežiūros centro pareigybių sąrašo ir valdymo struktūros patvirtinimo (1-T-161). </w:t>
      </w:r>
    </w:p>
    <w:p w14:paraId="4FB3F89E"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17. Dėl Anykščių rajono savivaldybės tarybos 2020 m. gruodžio 29 d. sprendimo Nr. 1-TS-352 „Dėl viešosios įstaigos Anykščių rajono savivaldybės ligoninės pareigybių sąrašo patvirtinimo” pakeitimo (1-T-162). </w:t>
      </w:r>
    </w:p>
    <w:p w14:paraId="4655A5FB"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18. Dėl viešosios įstaigos Anykščių rajono savivaldybės  pirminės sveikatos priežiūros centro 2022–2024 metų strateginio veiklos plano patvirtinimo (1-T-157). </w:t>
      </w:r>
    </w:p>
    <w:p w14:paraId="5ECD6D31" w14:textId="77777777" w:rsidR="008238A0" w:rsidRPr="008238A0" w:rsidRDefault="008238A0" w:rsidP="008238A0">
      <w:pPr>
        <w:spacing w:line="360" w:lineRule="auto"/>
        <w:jc w:val="both"/>
        <w:rPr>
          <w:rFonts w:ascii="Times New Roman" w:eastAsia="Calibri" w:hAnsi="Times New Roman" w:cs="Times New Roman"/>
          <w:b/>
          <w:bCs/>
          <w:sz w:val="24"/>
          <w:szCs w:val="24"/>
        </w:rPr>
      </w:pPr>
      <w:r w:rsidRPr="008238A0">
        <w:rPr>
          <w:rFonts w:ascii="Times New Roman" w:eastAsia="Calibri" w:hAnsi="Times New Roman" w:cs="Times New Roman"/>
          <w:b/>
          <w:bCs/>
          <w:sz w:val="24"/>
          <w:szCs w:val="24"/>
        </w:rPr>
        <w:t xml:space="preserve">            Pranešėja – Vaiva Daugelavičienė</w:t>
      </w:r>
    </w:p>
    <w:p w14:paraId="09E2D6EF"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19. Dėl viešosios įstaigos Anykščių menų inkubatoriaus-menų studijos kategorijos, įstaigos vadovui mėnesinės algos pastoviosios dalies koeficiento ir kintamosios dalies nustatymo (1-T-147). </w:t>
      </w:r>
    </w:p>
    <w:p w14:paraId="5E5C320A"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20. Dėl viešosios įstaigos Anykščių turizmo ir verslo informacijos centro kategorijos, įstaigos vadovui mėnesinės algos pastoviosios dalies koeficiento ir kintamosios dalies nustatymo (1-T-165). </w:t>
      </w:r>
    </w:p>
    <w:p w14:paraId="11F891B6"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21. Dėl viešosios įstaigos Anykščių turizmo ir verslo informacijos centro vadovui mėnesinės algos  kintamosios dalies vertinimo kriterijų ir rodiklių nustatymo (1-T-175). </w:t>
      </w:r>
    </w:p>
    <w:p w14:paraId="07FAB210"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22. Dėl viešosios įstaigos Anykščių menų inkubatoriaus-menų studijos vadovui mėnesinės algos  kintamosios dalies vertinimo kriterijų ir rodiklių nustatymo (1-T-177). </w:t>
      </w:r>
    </w:p>
    <w:p w14:paraId="378DB31B"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23. Dėl pritarimo viešosios įstaigos Anykščių turizmo ir verslo informacijos centro 2021 m. veiklos ataskaitai (1-T-163). </w:t>
      </w:r>
    </w:p>
    <w:p w14:paraId="521CDB7D"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24. Dėl pritarimo viešosios įstaigos Anykščių menų inkubatoriaus-menų studijos 2021 m. veiklos ataskaitai (1-T-148). </w:t>
      </w:r>
    </w:p>
    <w:p w14:paraId="381D2B98"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25. Dėl viešosios įstaigos Anykščių menų inkubatoriaus-menų studijos 2022 m. strateginio veiklos plano patvirtinimo (1-T-149). </w:t>
      </w:r>
    </w:p>
    <w:p w14:paraId="521E303F"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26. Dėl viešosios įstaigos Anykščių turizmo ir verslo informacijos centro 2022 m. veiklos strategijos patvirtinimo (1-T-176). </w:t>
      </w:r>
    </w:p>
    <w:p w14:paraId="6B2DCC68"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27. Dėl vietinės rinkliavos už naudojimąsi Anykščių rajono savivaldybės viešąja turizmo ir poilsio infrastruktūra lėšų nustatymo panaudojimo (1-T-178). </w:t>
      </w:r>
    </w:p>
    <w:p w14:paraId="5707A4B8" w14:textId="77777777" w:rsidR="008238A0" w:rsidRPr="008238A0" w:rsidRDefault="008238A0" w:rsidP="008238A0">
      <w:pPr>
        <w:spacing w:line="360" w:lineRule="auto"/>
        <w:jc w:val="both"/>
        <w:rPr>
          <w:rFonts w:ascii="Times New Roman" w:eastAsia="Calibri" w:hAnsi="Times New Roman" w:cs="Times New Roman"/>
          <w:b/>
          <w:bCs/>
          <w:sz w:val="24"/>
          <w:szCs w:val="24"/>
        </w:rPr>
      </w:pPr>
      <w:r w:rsidRPr="008238A0">
        <w:rPr>
          <w:rFonts w:ascii="Times New Roman" w:eastAsia="Calibri" w:hAnsi="Times New Roman" w:cs="Times New Roman"/>
          <w:b/>
          <w:bCs/>
          <w:sz w:val="24"/>
          <w:szCs w:val="24"/>
        </w:rPr>
        <w:t xml:space="preserve">            Pranešėja – Inga Eidrigevičienė</w:t>
      </w:r>
    </w:p>
    <w:p w14:paraId="5B471942"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28. Dėl saulės šviesos energijos elektrinių infrastruktūros vystymo Anykščių rajono savivaldybės Troškūnų seniūnijos teritorijoje specialiojo plano keitimo pradžios ir planavimo tikslų nustatymo (1-T-154). </w:t>
      </w:r>
    </w:p>
    <w:p w14:paraId="51A0E0D4"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29. Dėl viešųjų ir pusiau viešųjų elektromobilių įkrovimo prieigų Anykščių rajono savivaldybėje plano patvirtinimo (1-T-155). </w:t>
      </w:r>
    </w:p>
    <w:p w14:paraId="23DDF56A"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30. Dėl Anykščių rajono savivaldybės želdynų ir želdinių apsaugos taisyklių patvirtinimo (1-T-167). </w:t>
      </w:r>
    </w:p>
    <w:p w14:paraId="151CB987"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31. Dėl Anykščių rajono savivaldybės lėšų, reikalingų želdynų ir želdinių apsaugai, tvarkymui, želdynų kūrimui ir naujų želdinių veisimui, skyrimo tvarkos aprašo patvirtinimo (1-T-168). </w:t>
      </w:r>
    </w:p>
    <w:p w14:paraId="0A06379A"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32. Dėl valstybinės žemės sklypo Stadiono g. 1, Anykščių mieste, nuomos (1-T-180).</w:t>
      </w:r>
    </w:p>
    <w:p w14:paraId="2B8FD455"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33. Dėl valstybinės žemės nuomos sutarties sąlygų keitimo (1-T-182).</w:t>
      </w:r>
    </w:p>
    <w:p w14:paraId="47D17BFF"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34. Dėl valstybinės žemės nuomos sutarties sąlygų keitimo (1-T-181).</w:t>
      </w:r>
    </w:p>
    <w:p w14:paraId="4A8ECB8A"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35. Dėl Anykščių rajono savivaldybės infrastruktūros plėtros rėmimo programos komisijos darbo reglamento ir komisijos sudėties patvirtinimo (1-T-183).</w:t>
      </w:r>
    </w:p>
    <w:p w14:paraId="6323482B" w14:textId="77777777" w:rsidR="008238A0" w:rsidRPr="008238A0" w:rsidRDefault="008238A0" w:rsidP="008238A0">
      <w:pPr>
        <w:spacing w:line="360" w:lineRule="auto"/>
        <w:jc w:val="both"/>
        <w:rPr>
          <w:rFonts w:ascii="Times New Roman" w:eastAsia="Calibri" w:hAnsi="Times New Roman" w:cs="Times New Roman"/>
          <w:b/>
          <w:bCs/>
          <w:sz w:val="24"/>
          <w:szCs w:val="24"/>
        </w:rPr>
      </w:pPr>
      <w:r w:rsidRPr="008238A0">
        <w:rPr>
          <w:rFonts w:ascii="Times New Roman" w:eastAsia="Calibri" w:hAnsi="Times New Roman" w:cs="Times New Roman"/>
          <w:b/>
          <w:bCs/>
          <w:sz w:val="24"/>
          <w:szCs w:val="24"/>
        </w:rPr>
        <w:t xml:space="preserve">            Pranešėja – Daiva  Gasiūnienė</w:t>
      </w:r>
    </w:p>
    <w:p w14:paraId="5B948E0F"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36. Dėl negyvenamųjų patalpų A. Baranausko a. 2, Anykščių m. nuomos (1-T-138). </w:t>
      </w:r>
    </w:p>
    <w:p w14:paraId="6D1AB9A0"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37. Dėl turto perdavimo pagal panaudos sutartis Anykščių kūno kultūros ir sporto centrui (1-T-139). </w:t>
      </w:r>
    </w:p>
    <w:p w14:paraId="355029B5"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38. Dėl Anykščių rajono savivaldybės tarybos 2019 m. vasario 28 d. sprendimo Nr. 1-TS-64 „Dėl pritarimo uždarosios akcinės bendrovės „Anykščių šiluma“ 2017–2018 metų atliktoms investicijoms ir 2019–2021 metų investiciniam planui“ pakeitimo (1-T-153). </w:t>
      </w:r>
    </w:p>
    <w:p w14:paraId="5F5CE4E3"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39. Dėl pritarimo uždarosios akcinės bendrovės „Anykščių šiluma“ 2022 metų investiciniam planui (1-T-140). </w:t>
      </w:r>
    </w:p>
    <w:p w14:paraId="09C5B408"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40. Dėl pritarimo uždarosios akcinės bendrovės „Anykščių šiluma“ 2021 metų veiklos ataskaitai (1-T-141). </w:t>
      </w:r>
    </w:p>
    <w:p w14:paraId="0098490A"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41. Dėl pritarimo uždarosios akcinės bendrovės Anykščių komunalinio ūkio 2021 metų veiklos ataskaitai (1-T-142). </w:t>
      </w:r>
    </w:p>
    <w:p w14:paraId="6D36A599"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42. Dėl pritarimo uždarosios akcinės bendrovės „Anykščių vandenys“ 2021 metų veiklos ataskaitai (1-T-144). </w:t>
      </w:r>
    </w:p>
    <w:p w14:paraId="647BDBC9"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43. Dėl pritarimo viešosios įstaigos „Sveikatos oazė“ 2021 m. veiklos ataskaitai (1-T-143). </w:t>
      </w:r>
    </w:p>
    <w:p w14:paraId="7EABA77A"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44. Dėl viešosios įstaigos „Sveikatos oazė“ vadovui mėnesinės algos kintamosios dalies vertinimo kriterijų ir rodiklių nustatymo (1-T-145). </w:t>
      </w:r>
    </w:p>
    <w:p w14:paraId="1A44DE05"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45. Dėl viešosios įstaigos „Sveikatos oazė“ kategorijos, įstaigos vadovui mėnesinės algos pastoviosios dalies koeficiento ir kintamosios dalies nustatymo (1-T-150). </w:t>
      </w:r>
    </w:p>
    <w:p w14:paraId="5F063277"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46. Dėl materialiojo ilgalaikio ir trumpalaikio turto perėmimo Savivaldybės nuosavybėn ir jo perdavimo valdyti, naudoti ir disponuoti juo patikėjimo teise (1-T-146). </w:t>
      </w:r>
    </w:p>
    <w:p w14:paraId="0BCAF878"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47. Dėl 2021 m. lapkričio 16 d. Savivaldybės materialiojo turto nuomos sutarties Nr. 6-829 pakeitimo (1-T-152). </w:t>
      </w:r>
    </w:p>
    <w:p w14:paraId="04AAC307"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48. Dėl turto (metodinių leidinių) perėmimo Savivaldybės nuosavybėn ir jo perdavimo valdyti, naudoti ir disponuoti juo patikėjimo teise (1-T-166). </w:t>
      </w:r>
    </w:p>
    <w:p w14:paraId="26089632" w14:textId="77777777" w:rsidR="008238A0" w:rsidRPr="008238A0" w:rsidRDefault="008238A0" w:rsidP="008238A0">
      <w:pPr>
        <w:spacing w:line="360" w:lineRule="auto"/>
        <w:jc w:val="both"/>
        <w:rPr>
          <w:rFonts w:ascii="Times New Roman" w:eastAsia="Calibri" w:hAnsi="Times New Roman" w:cs="Times New Roman"/>
          <w:sz w:val="24"/>
          <w:szCs w:val="24"/>
        </w:rPr>
      </w:pPr>
      <w:r w:rsidRPr="008238A0">
        <w:rPr>
          <w:rFonts w:ascii="Times New Roman" w:eastAsia="Calibri" w:hAnsi="Times New Roman" w:cs="Times New Roman"/>
          <w:sz w:val="24"/>
          <w:szCs w:val="24"/>
        </w:rPr>
        <w:t xml:space="preserve">            49. Dėl valstybei nuosavybės teise priklausančio turto pripažinimo netinkamu (negalimu) naudoti ir nurašymo (1-T-171). </w:t>
      </w:r>
    </w:p>
    <w:p w14:paraId="3EB348D8" w14:textId="77777777" w:rsidR="00744D4C" w:rsidRDefault="00744D4C"/>
    <w:sectPr w:rsidR="00744D4C" w:rsidSect="008158D3">
      <w:headerReference w:type="even" r:id="rId6"/>
      <w:headerReference w:type="default" r:id="rId7"/>
      <w:pgSz w:w="12240" w:h="15840" w:code="1"/>
      <w:pgMar w:top="709" w:right="567" w:bottom="426"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E8CE0" w14:textId="77777777" w:rsidR="0012289C" w:rsidRDefault="0012289C">
      <w:pPr>
        <w:spacing w:after="0" w:line="240" w:lineRule="auto"/>
      </w:pPr>
      <w:r>
        <w:separator/>
      </w:r>
    </w:p>
  </w:endnote>
  <w:endnote w:type="continuationSeparator" w:id="0">
    <w:p w14:paraId="2A467C56" w14:textId="77777777" w:rsidR="0012289C" w:rsidRDefault="00122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040E4" w14:textId="77777777" w:rsidR="0012289C" w:rsidRDefault="0012289C">
      <w:pPr>
        <w:spacing w:after="0" w:line="240" w:lineRule="auto"/>
      </w:pPr>
      <w:r>
        <w:separator/>
      </w:r>
    </w:p>
  </w:footnote>
  <w:footnote w:type="continuationSeparator" w:id="0">
    <w:p w14:paraId="1A727796" w14:textId="77777777" w:rsidR="0012289C" w:rsidRDefault="001228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E6DE3" w14:textId="77777777"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CA5B22" w14:textId="77777777" w:rsidR="000D52B3" w:rsidRDefault="001228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7483A" w14:textId="77777777"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548AB3E2" w14:textId="77777777" w:rsidR="000D52B3" w:rsidRDefault="0012289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D4C"/>
    <w:rsid w:val="0012289C"/>
    <w:rsid w:val="001674EF"/>
    <w:rsid w:val="0017744E"/>
    <w:rsid w:val="00302CE8"/>
    <w:rsid w:val="003C60D4"/>
    <w:rsid w:val="004A33CA"/>
    <w:rsid w:val="00537453"/>
    <w:rsid w:val="005622E6"/>
    <w:rsid w:val="005B20C9"/>
    <w:rsid w:val="006B5AA9"/>
    <w:rsid w:val="00744D4C"/>
    <w:rsid w:val="00776191"/>
    <w:rsid w:val="008051DF"/>
    <w:rsid w:val="008238A0"/>
    <w:rsid w:val="00960FAD"/>
    <w:rsid w:val="00A257FE"/>
    <w:rsid w:val="00C46FFA"/>
    <w:rsid w:val="00C8173C"/>
    <w:rsid w:val="00C903E9"/>
    <w:rsid w:val="00CF610A"/>
    <w:rsid w:val="00D165B5"/>
    <w:rsid w:val="00E04B7E"/>
    <w:rsid w:val="00E74C44"/>
    <w:rsid w:val="00ED6F29"/>
    <w:rsid w:val="00EE03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70DB7"/>
  <w15:chartTrackingRefBased/>
  <w15:docId w15:val="{DBD190AC-AE7B-42EC-8AD5-FAF0185EC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744D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744D4C"/>
  </w:style>
  <w:style w:type="character" w:styleId="Puslapionumeris">
    <w:name w:val="page number"/>
    <w:basedOn w:val="Numatytasispastraiposriftas"/>
    <w:rsid w:val="00744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73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5415</Words>
  <Characters>3088</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3</cp:revision>
  <dcterms:created xsi:type="dcterms:W3CDTF">2022-04-21T06:42:00Z</dcterms:created>
  <dcterms:modified xsi:type="dcterms:W3CDTF">2022-04-21T11:06:00Z</dcterms:modified>
</cp:coreProperties>
</file>